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50797E0E"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r w:rsidR="007A4C44">
        <w:rPr>
          <w:rFonts w:ascii="Times New Roman" w:hAnsi="Times New Roman"/>
          <w:b/>
        </w:rPr>
        <w:t xml:space="preserve">furnizare de </w:t>
      </w:r>
      <w:r w:rsidR="007A4C44" w:rsidRPr="00D90E5E">
        <w:rPr>
          <w:rFonts w:ascii="Times New Roman" w:hAnsi="Times New Roman"/>
          <w:b/>
          <w:sz w:val="22"/>
        </w:rPr>
        <w:t>p</w:t>
      </w:r>
      <w:r w:rsidR="007A4C44" w:rsidRPr="00D90E5E">
        <w:rPr>
          <w:rFonts w:ascii="Times New Roman" w:hAnsi="Times New Roman"/>
          <w:b/>
          <w:sz w:val="22"/>
          <w:szCs w:val="22"/>
        </w:rPr>
        <w:t>achete materiale igienico-sanitare - ajutor material pentru stimularea participarii la gradinita (120 de copii)</w:t>
      </w:r>
      <w:r w:rsidR="0053137D">
        <w:rPr>
          <w:rFonts w:ascii="Times New Roman" w:hAnsi="Times New Roman"/>
          <w:b/>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3A3DB182"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Centrul</w:t>
      </w:r>
      <w:proofErr w:type="spellEnd"/>
      <w:r w:rsidR="00A53A4C" w:rsidRPr="00176AC1">
        <w:rPr>
          <w:rFonts w:ascii="Times New Roman" w:hAnsi="Times New Roman"/>
          <w:b/>
          <w:sz w:val="22"/>
          <w:szCs w:val="22"/>
          <w:lang w:val="en-US"/>
        </w:rPr>
        <w:t xml:space="preserve"> </w:t>
      </w:r>
      <w:proofErr w:type="spellStart"/>
      <w:r w:rsidR="00202257">
        <w:rPr>
          <w:rFonts w:ascii="Times New Roman" w:hAnsi="Times New Roman"/>
          <w:b/>
          <w:sz w:val="22"/>
          <w:szCs w:val="22"/>
          <w:lang w:val="en-US"/>
        </w:rPr>
        <w:t>p</w:t>
      </w:r>
      <w:r w:rsidR="00A53A4C" w:rsidRPr="00176AC1">
        <w:rPr>
          <w:rFonts w:ascii="Times New Roman" w:hAnsi="Times New Roman"/>
          <w:b/>
          <w:sz w:val="22"/>
          <w:szCs w:val="22"/>
          <w:lang w:val="en-US"/>
        </w:rPr>
        <w:t>entru</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Educatie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si</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Drepturile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Omului</w:t>
      </w:r>
      <w:proofErr w:type="spellEnd"/>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4709" w14:textId="77777777" w:rsidR="00E45B8A" w:rsidRDefault="00E45B8A" w:rsidP="0012533D">
      <w:pPr>
        <w:spacing w:before="0"/>
      </w:pPr>
      <w:r>
        <w:separator/>
      </w:r>
    </w:p>
  </w:endnote>
  <w:endnote w:type="continuationSeparator" w:id="0">
    <w:p w14:paraId="14DACC60" w14:textId="77777777" w:rsidR="00E45B8A" w:rsidRDefault="00E45B8A"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23676" w14:textId="77777777" w:rsidR="00E45B8A" w:rsidRDefault="00E45B8A" w:rsidP="0012533D">
      <w:pPr>
        <w:spacing w:before="0"/>
      </w:pPr>
      <w:r>
        <w:separator/>
      </w:r>
    </w:p>
  </w:footnote>
  <w:footnote w:type="continuationSeparator" w:id="0">
    <w:p w14:paraId="4990E5A6" w14:textId="77777777" w:rsidR="00E45B8A" w:rsidRDefault="00E45B8A"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0" w:name="_Hlk525738388"/>
    <w:bookmarkStart w:id="1"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02257"/>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4C44"/>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37790"/>
    <w:rsid w:val="00940045"/>
    <w:rsid w:val="0094090C"/>
    <w:rsid w:val="00945CBF"/>
    <w:rsid w:val="00951507"/>
    <w:rsid w:val="00957CC8"/>
    <w:rsid w:val="00965B42"/>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5B8A"/>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6</TotalTime>
  <Pages>1</Pages>
  <Words>266</Words>
  <Characters>1545</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10</cp:revision>
  <cp:lastPrinted>2016-04-15T10:36:00Z</cp:lastPrinted>
  <dcterms:created xsi:type="dcterms:W3CDTF">2018-11-01T10:00:00Z</dcterms:created>
  <dcterms:modified xsi:type="dcterms:W3CDTF">2021-06-14T06:52:00Z</dcterms:modified>
</cp:coreProperties>
</file>